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CE" w:rsidRDefault="00895DCE" w:rsidP="00895DCE">
      <w:pPr>
        <w:spacing w:before="80" w:after="80"/>
        <w:jc w:val="center"/>
        <w:rPr>
          <w:color w:val="222222"/>
          <w:sz w:val="22"/>
          <w:szCs w:val="22"/>
        </w:rPr>
      </w:pPr>
      <w:r>
        <w:rPr>
          <w:color w:val="222222"/>
        </w:rPr>
        <w:t>Comunicato</w:t>
      </w:r>
    </w:p>
    <w:p w:rsidR="00895DCE" w:rsidRDefault="00895DCE" w:rsidP="00895DCE">
      <w:pPr>
        <w:jc w:val="center"/>
        <w:rPr>
          <w:b/>
          <w:i/>
        </w:rPr>
      </w:pPr>
    </w:p>
    <w:p w:rsidR="00895DCE" w:rsidRDefault="00895DCE" w:rsidP="00895DCE">
      <w:pPr>
        <w:jc w:val="center"/>
        <w:rPr>
          <w:b/>
          <w:i/>
        </w:rPr>
      </w:pPr>
      <w:proofErr w:type="spellStart"/>
      <w:r>
        <w:rPr>
          <w:b/>
          <w:i/>
        </w:rPr>
        <w:t>Gal</w:t>
      </w:r>
      <w:proofErr w:type="spellEnd"/>
      <w:r>
        <w:rPr>
          <w:b/>
          <w:i/>
        </w:rPr>
        <w:t xml:space="preserve"> “Serre Cala</w:t>
      </w:r>
      <w:r w:rsidR="00F12796">
        <w:rPr>
          <w:b/>
          <w:i/>
        </w:rPr>
        <w:t>bresi”:</w:t>
      </w:r>
      <w:r w:rsidR="00D35C90">
        <w:rPr>
          <w:b/>
          <w:i/>
        </w:rPr>
        <w:t xml:space="preserve"> la nocciola e il miele</w:t>
      </w:r>
      <w:r w:rsidR="00F12796">
        <w:rPr>
          <w:b/>
          <w:i/>
        </w:rPr>
        <w:t>,</w:t>
      </w:r>
      <w:r w:rsidR="00D35C90">
        <w:rPr>
          <w:b/>
          <w:i/>
        </w:rPr>
        <w:t xml:space="preserve"> elementi di promozione e sviluppo per il territorio</w:t>
      </w:r>
    </w:p>
    <w:p w:rsidR="00F12796" w:rsidRDefault="00F12796" w:rsidP="00895DCE">
      <w:pPr>
        <w:jc w:val="center"/>
        <w:rPr>
          <w:b/>
          <w:i/>
        </w:rPr>
      </w:pPr>
      <w:r>
        <w:rPr>
          <w:b/>
          <w:i/>
        </w:rPr>
        <w:t>Il tema di un workshop tenutosi ad Amaroni</w:t>
      </w:r>
    </w:p>
    <w:p w:rsidR="00D35C90" w:rsidRDefault="00D35C90" w:rsidP="00895DCE">
      <w:pPr>
        <w:jc w:val="center"/>
        <w:rPr>
          <w:b/>
          <w:i/>
        </w:rPr>
      </w:pPr>
    </w:p>
    <w:p w:rsidR="00D35C90" w:rsidRPr="004E06BB" w:rsidRDefault="00D35C90" w:rsidP="004E06BB">
      <w:pPr>
        <w:jc w:val="both"/>
      </w:pPr>
      <w:r w:rsidRPr="004E06BB">
        <w:t xml:space="preserve">Nocciola e miele, due elementi fortemente identitari del territorio, due prodotti di eccellenza che concorrono a valorizzarlo nei suoi molteplici aspetti: gastronomia, storia, tradizioni, cultura, accoglienza turistica, bellezze paesaggistiche ed architettoniche, in linea con l’approccio integrato della Strategia nazionale delle aree interne, in linea con le azioni della promozione del turismo montano e delle aree rurali intraprese e poste in essere dal </w:t>
      </w:r>
      <w:proofErr w:type="spellStart"/>
      <w:r w:rsidRPr="004E06BB">
        <w:t>Gal</w:t>
      </w:r>
      <w:proofErr w:type="spellEnd"/>
      <w:r w:rsidRPr="004E06BB">
        <w:t xml:space="preserve"> “Serre Calabresi”, come esposto dal presidente Marziale Battaglia.</w:t>
      </w:r>
    </w:p>
    <w:p w:rsidR="00691B46" w:rsidRPr="004E06BB" w:rsidRDefault="00691B46" w:rsidP="00691B46">
      <w:pPr>
        <w:jc w:val="both"/>
      </w:pPr>
      <w:r w:rsidRPr="004E06BB">
        <w:t>“La nocciola e il miele, opportunità tra storia e tradizione” filo conduttore del workshop, tenutosi ad Amaroni. Il primo di una di una serie di incontri organizz</w:t>
      </w:r>
      <w:r w:rsidR="00AF198C" w:rsidRPr="004E06BB">
        <w:t>ati</w:t>
      </w:r>
      <w:r w:rsidRPr="004E06BB">
        <w:t xml:space="preserve"> dal </w:t>
      </w:r>
      <w:proofErr w:type="spellStart"/>
      <w:r w:rsidRPr="004E06BB">
        <w:t>Gal</w:t>
      </w:r>
      <w:proofErr w:type="spellEnd"/>
      <w:r w:rsidRPr="004E06BB">
        <w:t xml:space="preserve"> “Serre Calabresi”</w:t>
      </w:r>
      <w:r w:rsidR="00D06BC4" w:rsidRPr="004E06BB">
        <w:t xml:space="preserve"> </w:t>
      </w:r>
      <w:r w:rsidRPr="004E06BB">
        <w:t xml:space="preserve">nell’ambito del </w:t>
      </w:r>
      <w:proofErr w:type="spellStart"/>
      <w:r w:rsidRPr="004E06BB">
        <w:t>Psr</w:t>
      </w:r>
      <w:proofErr w:type="spellEnd"/>
      <w:r w:rsidRPr="004E06BB">
        <w:t xml:space="preserve"> Calabria 2014/2020, misura 1.1.1 relativa al sostegno alla formazione professionale.  I prossimi incontri si svolgeranno il 23 maggio a Borgia su “I mestieri dell’agricoltura 2.0 – Il futuro ha radici antiche”, il 30 maggio a Badolato su “Innovazione tecnologia e sviluppo rurale. Il ruolo </w:t>
      </w:r>
      <w:proofErr w:type="spellStart"/>
      <w:r w:rsidRPr="004E06BB">
        <w:t>dell’Itc</w:t>
      </w:r>
      <w:proofErr w:type="spellEnd"/>
      <w:r w:rsidRPr="004E06BB">
        <w:t xml:space="preserve"> nella crescita delle aree interne”.</w:t>
      </w:r>
    </w:p>
    <w:p w:rsidR="00691B46" w:rsidRPr="004E06BB" w:rsidRDefault="00D06BC4" w:rsidP="007558C6">
      <w:pPr>
        <w:jc w:val="both"/>
      </w:pPr>
      <w:r w:rsidRPr="004E06BB">
        <w:t xml:space="preserve">Due prodotti sui quali il </w:t>
      </w:r>
      <w:proofErr w:type="spellStart"/>
      <w:r w:rsidRPr="004E06BB">
        <w:t>Gal</w:t>
      </w:r>
      <w:proofErr w:type="spellEnd"/>
      <w:r w:rsidRPr="004E06BB">
        <w:t xml:space="preserve"> “Serre Calabresi” ha caparbiamente creduto puntando sul connubio, </w:t>
      </w:r>
      <w:r w:rsidR="00F12796" w:rsidRPr="004E06BB">
        <w:t>testato per ben due volte, che ha dato</w:t>
      </w:r>
      <w:r w:rsidRPr="004E06BB">
        <w:t xml:space="preserve"> vita ad un prodotto finito “</w:t>
      </w:r>
      <w:proofErr w:type="spellStart"/>
      <w:r w:rsidRPr="004E06BB">
        <w:t>No&amp;Mi</w:t>
      </w:r>
      <w:proofErr w:type="spellEnd"/>
      <w:r w:rsidRPr="004E06BB">
        <w:t>”. S</w:t>
      </w:r>
      <w:r w:rsidR="00AF198C" w:rsidRPr="004E06BB">
        <w:t>e ne</w:t>
      </w:r>
      <w:r w:rsidRPr="004E06BB">
        <w:t xml:space="preserve"> </w:t>
      </w:r>
      <w:r w:rsidR="00AF198C" w:rsidRPr="004E06BB">
        <w:t>sta definendo il disciplinare, così come quelli relativi</w:t>
      </w:r>
      <w:r w:rsidR="001A6E6F" w:rsidRPr="004E06BB">
        <w:t xml:space="preserve"> a nocciole e miele, dei</w:t>
      </w:r>
      <w:r w:rsidRPr="004E06BB">
        <w:t xml:space="preserve"> quali ha dato conto l’</w:t>
      </w:r>
      <w:r w:rsidR="007558C6" w:rsidRPr="004E06BB">
        <w:t xml:space="preserve">esperto Nicola Gallinaro, al lavoro su una quindicina di prodotti dell’area </w:t>
      </w:r>
      <w:proofErr w:type="spellStart"/>
      <w:r w:rsidR="007558C6" w:rsidRPr="004E06BB">
        <w:t>Gal</w:t>
      </w:r>
      <w:proofErr w:type="spellEnd"/>
      <w:r w:rsidR="007558C6" w:rsidRPr="004E06BB">
        <w:t>, evidenziando nello specific</w:t>
      </w:r>
      <w:r w:rsidR="00E0517E" w:rsidRPr="004E06BB">
        <w:t>o</w:t>
      </w:r>
      <w:r w:rsidR="007558C6" w:rsidRPr="004E06BB">
        <w:t xml:space="preserve"> la potenzialità e la forza delle due risorse agroalimentari.</w:t>
      </w:r>
    </w:p>
    <w:p w:rsidR="00E0517E" w:rsidRPr="004E06BB" w:rsidRDefault="00E0517E" w:rsidP="007558C6">
      <w:pPr>
        <w:jc w:val="both"/>
      </w:pPr>
      <w:r w:rsidRPr="004E06BB">
        <w:t xml:space="preserve">“Il brand Amaroni Mieli”, quale azione corale che coinvolge anche gli apicultori, </w:t>
      </w:r>
      <w:r w:rsidR="001A6E6F" w:rsidRPr="004E06BB">
        <w:t xml:space="preserve">è stato </w:t>
      </w:r>
      <w:r w:rsidRPr="004E06BB">
        <w:t>l’arg</w:t>
      </w:r>
      <w:r w:rsidR="001A6E6F" w:rsidRPr="004E06BB">
        <w:t xml:space="preserve">omento sul quale si è soffermata </w:t>
      </w:r>
      <w:r w:rsidRPr="004E06BB">
        <w:t>il vicesindaco Teresa Lagrotteria. Una strategia che spinge verso una</w:t>
      </w:r>
      <w:r w:rsidR="00F12796" w:rsidRPr="004E06BB">
        <w:t xml:space="preserve"> competitività sostenibile, </w:t>
      </w:r>
      <w:r w:rsidR="00CF5694" w:rsidRPr="004E06BB">
        <w:t xml:space="preserve">uno </w:t>
      </w:r>
      <w:r w:rsidRPr="004E06BB">
        <w:t xml:space="preserve">sviluppo socioeconomico associato alla qualità, alla memoria storica di una tradizione secolare. Il debutto di questo marchio nel 2012 al </w:t>
      </w:r>
      <w:proofErr w:type="spellStart"/>
      <w:r w:rsidRPr="004E06BB">
        <w:t>Vinitaly</w:t>
      </w:r>
      <w:proofErr w:type="spellEnd"/>
      <w:r w:rsidRPr="004E06BB">
        <w:t xml:space="preserve"> e i riconoscimenti ottenuti a livello nazionale negli anni dagli apicultori del luogo. Un brand che oltre al prodotto comunica il valore del territorio, </w:t>
      </w:r>
      <w:r w:rsidR="00F12796" w:rsidRPr="004E06BB">
        <w:t xml:space="preserve">con le sue risorse tangibili e </w:t>
      </w:r>
      <w:r w:rsidRPr="004E06BB">
        <w:t>intangibili.</w:t>
      </w:r>
    </w:p>
    <w:p w:rsidR="00210FFE" w:rsidRPr="004E06BB" w:rsidRDefault="00210FFE" w:rsidP="007558C6">
      <w:pPr>
        <w:jc w:val="both"/>
      </w:pPr>
      <w:r w:rsidRPr="004E06BB">
        <w:t>La realtà del settore apistico</w:t>
      </w:r>
      <w:r w:rsidR="008505AB" w:rsidRPr="004E06BB">
        <w:t xml:space="preserve"> e </w:t>
      </w:r>
      <w:r w:rsidR="001A6E6F" w:rsidRPr="004E06BB">
        <w:t xml:space="preserve">le relative </w:t>
      </w:r>
      <w:r w:rsidR="008505AB" w:rsidRPr="004E06BB">
        <w:t>problematiche</w:t>
      </w:r>
      <w:r w:rsidR="001A6E6F" w:rsidRPr="004E06BB">
        <w:t xml:space="preserve">, nell’intervento di Giuseppe </w:t>
      </w:r>
      <w:proofErr w:type="spellStart"/>
      <w:r w:rsidR="001A6E6F" w:rsidRPr="004E06BB">
        <w:t>Olivad</w:t>
      </w:r>
      <w:r w:rsidRPr="004E06BB">
        <w:t>oti</w:t>
      </w:r>
      <w:proofErr w:type="spellEnd"/>
      <w:r w:rsidRPr="004E06BB">
        <w:t xml:space="preserve">, presidente dell’Associazione </w:t>
      </w:r>
      <w:proofErr w:type="spellStart"/>
      <w:r w:rsidRPr="004E06BB">
        <w:t>Ama.M.I</w:t>
      </w:r>
      <w:proofErr w:type="spellEnd"/>
      <w:r w:rsidRPr="004E06BB">
        <w:t xml:space="preserve">, che dal 2007 associa dodici aziende </w:t>
      </w:r>
      <w:r w:rsidR="008505AB" w:rsidRPr="004E06BB">
        <w:t xml:space="preserve">di Amaroni </w:t>
      </w:r>
      <w:r w:rsidRPr="004E06BB">
        <w:t>per un tot</w:t>
      </w:r>
      <w:r w:rsidR="001A6E6F" w:rsidRPr="004E06BB">
        <w:t>ale di 2500 arnie. Aziende dotate di attrezzatura all’avanguardia.</w:t>
      </w:r>
    </w:p>
    <w:p w:rsidR="00210FFE" w:rsidRPr="004E06BB" w:rsidRDefault="00EE65B7" w:rsidP="007558C6">
      <w:pPr>
        <w:jc w:val="both"/>
      </w:pPr>
      <w:r w:rsidRPr="004E06BB">
        <w:t>«La produzione di qualità è strettamente correlata alle capacità operative dell’apicultore. Sottovalutare le competenze comporterebbe uno spreco di soldi e di energie</w:t>
      </w:r>
      <w:r w:rsidR="00375AC2" w:rsidRPr="004E06BB">
        <w:t>» ha osservato, evidenziando</w:t>
      </w:r>
      <w:r w:rsidR="005030C5">
        <w:t xml:space="preserve"> </w:t>
      </w:r>
      <w:r w:rsidR="00795BD2" w:rsidRPr="004E06BB">
        <w:t xml:space="preserve">come gli apicultori </w:t>
      </w:r>
      <w:r w:rsidR="00B34B11" w:rsidRPr="004E06BB">
        <w:t>siano imprenditori che debbono misurarsi con diverse problematiche: cambiamenti climatici, taglio degli alberi, cementificazione selvaggia, erogazione di pesticidi</w:t>
      </w:r>
      <w:r w:rsidR="00762950" w:rsidRPr="004E06BB">
        <w:t xml:space="preserve"> che impattano sulla stessa vita delle api</w:t>
      </w:r>
      <w:r w:rsidR="001A6E6F" w:rsidRPr="004E06BB">
        <w:t>.</w:t>
      </w:r>
      <w:r w:rsidR="00B34B11" w:rsidRPr="004E06BB">
        <w:t xml:space="preserve"> Ha edotto riguard</w:t>
      </w:r>
      <w:r w:rsidR="001A6E6F" w:rsidRPr="004E06BB">
        <w:t>o il nomadismo delle api che con</w:t>
      </w:r>
      <w:r w:rsidR="00B34B11" w:rsidRPr="004E06BB">
        <w:t xml:space="preserve"> la vicinanza a</w:t>
      </w:r>
      <w:r w:rsidR="00375AC2" w:rsidRPr="004E06BB">
        <w:t>lle diverse fioriture</w:t>
      </w:r>
      <w:r w:rsidR="00B34B11" w:rsidRPr="004E06BB">
        <w:t xml:space="preserve"> dà vita alle differenti varietà di miele e come essenziale sia una gestione oculat</w:t>
      </w:r>
      <w:r w:rsidR="00375AC2" w:rsidRPr="004E06BB">
        <w:t>a dei campi che accolgono le arnie</w:t>
      </w:r>
      <w:r w:rsidR="00B34B11" w:rsidRPr="004E06BB">
        <w:t xml:space="preserve"> per </w:t>
      </w:r>
      <w:r w:rsidR="005030C5">
        <w:t>d</w:t>
      </w:r>
      <w:r w:rsidR="003E35E2">
        <w:t>are vita ad un prodotto salubre</w:t>
      </w:r>
      <w:r w:rsidR="00B34B11" w:rsidRPr="004E06BB">
        <w:t>.</w:t>
      </w:r>
    </w:p>
    <w:p w:rsidR="00D35C90" w:rsidRPr="004E06BB" w:rsidRDefault="00F71B64" w:rsidP="00F71B64">
      <w:pPr>
        <w:spacing w:before="80" w:after="80"/>
        <w:jc w:val="both"/>
      </w:pPr>
      <w:r w:rsidRPr="004E06BB">
        <w:t xml:space="preserve">Le </w:t>
      </w:r>
      <w:r w:rsidR="00D35C90" w:rsidRPr="004E06BB">
        <w:t xml:space="preserve">api </w:t>
      </w:r>
      <w:r w:rsidR="001A6E6F" w:rsidRPr="004E06BB">
        <w:t xml:space="preserve">che </w:t>
      </w:r>
      <w:r w:rsidRPr="004E06BB">
        <w:t xml:space="preserve">con </w:t>
      </w:r>
      <w:r w:rsidR="00D35C90" w:rsidRPr="004E06BB">
        <w:t>il loro ruolo di impol</w:t>
      </w:r>
      <w:r w:rsidR="001A6E6F" w:rsidRPr="004E06BB">
        <w:t>linatrici</w:t>
      </w:r>
      <w:r w:rsidR="00933BBF" w:rsidRPr="004E06BB">
        <w:t xml:space="preserve"> difendono la </w:t>
      </w:r>
      <w:r w:rsidRPr="004E06BB">
        <w:t>biodiversità e grazie alle quali</w:t>
      </w:r>
      <w:r w:rsidR="001A6E6F" w:rsidRPr="004E06BB">
        <w:t xml:space="preserve"> abbiamo</w:t>
      </w:r>
      <w:r w:rsidR="00D35C90" w:rsidRPr="004E06BB">
        <w:t xml:space="preserve"> un terzo del cibo</w:t>
      </w:r>
      <w:r w:rsidR="00933BBF" w:rsidRPr="004E06BB">
        <w:t xml:space="preserve"> che portiamo in tavola, negli interventi dell’esperto apistico Maurizio </w:t>
      </w:r>
      <w:proofErr w:type="spellStart"/>
      <w:r w:rsidR="00933BBF" w:rsidRPr="004E06BB">
        <w:t>Millea</w:t>
      </w:r>
      <w:proofErr w:type="spellEnd"/>
      <w:r w:rsidR="00933BBF" w:rsidRPr="004E06BB">
        <w:t xml:space="preserve"> e del m</w:t>
      </w:r>
      <w:r w:rsidR="0032387C" w:rsidRPr="004E06BB">
        <w:t xml:space="preserve">edico veterinario Roberto Bava. </w:t>
      </w:r>
      <w:proofErr w:type="spellStart"/>
      <w:r w:rsidR="0032387C" w:rsidRPr="004E06BB">
        <w:t>Millea</w:t>
      </w:r>
      <w:proofErr w:type="spellEnd"/>
      <w:r w:rsidR="0032387C" w:rsidRPr="004E06BB">
        <w:t xml:space="preserve">, oltre </w:t>
      </w:r>
      <w:r w:rsidR="001A6E6F" w:rsidRPr="004E06BB">
        <w:t>che sul</w:t>
      </w:r>
      <w:r w:rsidR="0032387C" w:rsidRPr="004E06BB">
        <w:t>le varie avversità dovute ai mutamenti climati</w:t>
      </w:r>
      <w:r w:rsidR="00C3657A" w:rsidRPr="004E06BB">
        <w:t>ci</w:t>
      </w:r>
      <w:r w:rsidR="00E80A55" w:rsidRPr="004E06BB">
        <w:t xml:space="preserve"> che incidono su fioriture e produzione</w:t>
      </w:r>
      <w:r w:rsidR="00A85414">
        <w:t xml:space="preserve">, ha posto l’accento </w:t>
      </w:r>
      <w:r w:rsidR="0032387C" w:rsidRPr="004E06BB">
        <w:t xml:space="preserve">sulla necessità di difendere l’identità ed il valore del miele di un territorio in </w:t>
      </w:r>
      <w:r w:rsidR="0032387C" w:rsidRPr="004E06BB">
        <w:lastRenderedPageBreak/>
        <w:t xml:space="preserve">un contesto di globalizzazione. La Calabria è una delle regioni più importanti per la produzione di miele e ciò rende l’idea anche della rilevanza </w:t>
      </w:r>
      <w:r w:rsidR="00C3657A" w:rsidRPr="004E06BB">
        <w:t>di</w:t>
      </w:r>
      <w:r w:rsidR="0032387C" w:rsidRPr="004E06BB">
        <w:t xml:space="preserve"> questi temi per l’economia dal territorio.</w:t>
      </w:r>
      <w:r w:rsidR="00C3657A" w:rsidRPr="004E06BB">
        <w:t xml:space="preserve"> Bava si è soffermato, inoltre, sui comportamenti virtuosi da adottare in agricoltura per evitare che il </w:t>
      </w:r>
      <w:proofErr w:type="spellStart"/>
      <w:r w:rsidR="00C3657A" w:rsidRPr="004E06BB">
        <w:t>superorganismo</w:t>
      </w:r>
      <w:proofErr w:type="spellEnd"/>
      <w:r w:rsidR="00C3657A" w:rsidRPr="004E06BB">
        <w:t xml:space="preserve"> alveare possa essere minacciato.</w:t>
      </w:r>
    </w:p>
    <w:p w:rsidR="00F75C43" w:rsidRPr="004E06BB" w:rsidRDefault="00F75C43" w:rsidP="00F71B64">
      <w:pPr>
        <w:spacing w:before="80" w:after="80"/>
        <w:jc w:val="both"/>
      </w:pPr>
      <w:r w:rsidRPr="004E06BB">
        <w:t>Dal miele al</w:t>
      </w:r>
      <w:r w:rsidR="00375AC2" w:rsidRPr="004E06BB">
        <w:t xml:space="preserve">la nocciola, </w:t>
      </w:r>
      <w:r w:rsidRPr="004E06BB">
        <w:t xml:space="preserve">espressione della produzione </w:t>
      </w:r>
      <w:proofErr w:type="spellStart"/>
      <w:r w:rsidRPr="004E06BB">
        <w:t>corilicola</w:t>
      </w:r>
      <w:proofErr w:type="spellEnd"/>
      <w:r w:rsidRPr="004E06BB">
        <w:t xml:space="preserve"> di Cardinale e Torre di Ruggiero. Una risorsa che può concorrere con la sua valorizzazione al contrasto</w:t>
      </w:r>
      <w:r w:rsidR="00961C2A" w:rsidRPr="004E06BB">
        <w:t xml:space="preserve"> dello spopolamento</w:t>
      </w:r>
      <w:r w:rsidRPr="004E06BB">
        <w:t xml:space="preserve"> delle aree interne, ha espresso l’esperto di marketing, Massimo Rotiroti. Più spazio al prodotto per far crescere il territorio sotto molteplici aspetti collegati tra loro, con un turismo che </w:t>
      </w:r>
      <w:r w:rsidR="00A85414">
        <w:t>punta a promuovere la realtà locale</w:t>
      </w:r>
      <w:r w:rsidRPr="004E06BB">
        <w:t xml:space="preserve">, ad esempio con attività </w:t>
      </w:r>
      <w:r w:rsidR="00375AC2" w:rsidRPr="004E06BB">
        <w:t>di tr</w:t>
      </w:r>
      <w:r w:rsidR="000415BA">
        <w:t>ekking tra i noccioleti e</w:t>
      </w:r>
      <w:r w:rsidR="00375AC2" w:rsidRPr="004E06BB">
        <w:t xml:space="preserve"> </w:t>
      </w:r>
      <w:r w:rsidRPr="004E06BB">
        <w:t xml:space="preserve">altre azioni di accoglienza e </w:t>
      </w:r>
      <w:r w:rsidR="00961C2A" w:rsidRPr="004E06BB">
        <w:t xml:space="preserve">iniziative </w:t>
      </w:r>
      <w:r w:rsidRPr="004E06BB">
        <w:t>culturali predisposti nell’ambito del progetto “Borgo della Nocciola”</w:t>
      </w:r>
      <w:r w:rsidR="00375AC2" w:rsidRPr="004E06BB">
        <w:t>,</w:t>
      </w:r>
      <w:r w:rsidRPr="004E06BB">
        <w:t xml:space="preserve"> redatto dal Comune di Cardinale.</w:t>
      </w:r>
    </w:p>
    <w:p w:rsidR="00961C2A" w:rsidRPr="004E06BB" w:rsidRDefault="00961C2A" w:rsidP="00F71B64">
      <w:pPr>
        <w:spacing w:before="80" w:after="80"/>
        <w:jc w:val="both"/>
      </w:pPr>
      <w:r w:rsidRPr="004E06BB">
        <w:t xml:space="preserve">La coltivazione </w:t>
      </w:r>
      <w:proofErr w:type="spellStart"/>
      <w:r w:rsidRPr="004E06BB">
        <w:t>corilicola</w:t>
      </w:r>
      <w:proofErr w:type="spellEnd"/>
      <w:r w:rsidRPr="004E06BB">
        <w:t>, presente già nella preistoria, l’excursus storico di uno straordinario frutto «del quale non si butta via niente», la cultura e le tradizioni che ruotano attorno al mondo della nocciola, varietà presenti in Italia e nel mondo, le caratteristiche nutrizionali ed organolettiche</w:t>
      </w:r>
      <w:r w:rsidR="00A70433" w:rsidRPr="004E06BB">
        <w:t xml:space="preserve"> della Tonda Calabrese che la rendono una nocciola di qualità,</w:t>
      </w:r>
      <w:r w:rsidRPr="004E06BB">
        <w:t xml:space="preserve"> nell’intervento di Irma </w:t>
      </w:r>
      <w:proofErr w:type="spellStart"/>
      <w:r w:rsidRPr="004E06BB">
        <w:t>Brizi</w:t>
      </w:r>
      <w:proofErr w:type="spellEnd"/>
      <w:r w:rsidRPr="004E06BB">
        <w:t>, direttore dell’Associazione nazionale “Città della Nocciola” e panel leader</w:t>
      </w:r>
      <w:r w:rsidR="00A70433" w:rsidRPr="004E06BB">
        <w:t>.</w:t>
      </w:r>
    </w:p>
    <w:p w:rsidR="00C85EE1" w:rsidRPr="004E06BB" w:rsidRDefault="00C85EE1" w:rsidP="00F71B64">
      <w:pPr>
        <w:spacing w:before="80" w:after="80"/>
        <w:jc w:val="both"/>
      </w:pPr>
      <w:r w:rsidRPr="004E06BB">
        <w:t xml:space="preserve">Un frutto in guscio da declinare anche in piatti salati, la sfida che la chef internazionale Nadia Christina </w:t>
      </w:r>
      <w:proofErr w:type="spellStart"/>
      <w:r w:rsidRPr="004E06BB">
        <w:t>Tappen</w:t>
      </w:r>
      <w:proofErr w:type="spellEnd"/>
      <w:r w:rsidRPr="004E06BB">
        <w:t xml:space="preserve">, da poco nominata ambasciatrice </w:t>
      </w:r>
      <w:r w:rsidR="00900570" w:rsidRPr="004E06BB">
        <w:t xml:space="preserve">nel mondo </w:t>
      </w:r>
      <w:r w:rsidR="000415BA">
        <w:t>della Tonda calabrese</w:t>
      </w:r>
      <w:bookmarkStart w:id="0" w:name="_GoBack"/>
      <w:bookmarkEnd w:id="0"/>
      <w:r w:rsidRPr="004E06BB">
        <w:t xml:space="preserve"> dall’Amministrazione comunale di Cardinale, ha fatto propria con eccellenti risultati</w:t>
      </w:r>
      <w:r w:rsidR="00900570" w:rsidRPr="004E06BB">
        <w:t xml:space="preserve"> su tavole stellate di mezza Europa</w:t>
      </w:r>
      <w:r w:rsidRPr="004E06BB">
        <w:t xml:space="preserve">. Una nocciola che </w:t>
      </w:r>
      <w:r w:rsidR="00900570" w:rsidRPr="004E06BB">
        <w:t>fornisce un olio prezioso e buono anche per frigge</w:t>
      </w:r>
      <w:r w:rsidR="00375AC2" w:rsidRPr="004E06BB">
        <w:t>re ed un prodotto da valorizzare</w:t>
      </w:r>
      <w:r w:rsidR="00900570" w:rsidRPr="004E06BB">
        <w:t xml:space="preserve"> anche a crudo.</w:t>
      </w:r>
    </w:p>
    <w:p w:rsidR="004331E7" w:rsidRPr="004E06BB" w:rsidRDefault="004331E7" w:rsidP="00F71B64">
      <w:pPr>
        <w:spacing w:before="80" w:after="80"/>
        <w:jc w:val="both"/>
      </w:pPr>
      <w:r w:rsidRPr="004E06BB">
        <w:t xml:space="preserve">Sulle pratiche agronomiche da mettere in atto per ottenere una nocciola di qualità ed una produzione redditizia si è espresso l’agronomo Tommaso </w:t>
      </w:r>
      <w:proofErr w:type="spellStart"/>
      <w:r w:rsidRPr="004E06BB">
        <w:t>Gullì</w:t>
      </w:r>
      <w:proofErr w:type="spellEnd"/>
      <w:r w:rsidRPr="004E06BB">
        <w:t>, in quale ha posto in evidenza la capacità che ha la pianta di nocciolo di adattarsi a terreni eterogenei, le analisi da compiere prima di realizzare un impianto, le azioni da porre in essere per contrastare gli effetti dei cambiamenti climatici.</w:t>
      </w:r>
    </w:p>
    <w:p w:rsidR="00160109" w:rsidRPr="004E06BB" w:rsidRDefault="00160109" w:rsidP="00F71B64">
      <w:pPr>
        <w:spacing w:before="80" w:after="80"/>
        <w:jc w:val="both"/>
      </w:pPr>
      <w:r w:rsidRPr="004E06BB">
        <w:t xml:space="preserve">Da Francesco Scalfaro, consigliere del </w:t>
      </w:r>
      <w:proofErr w:type="spellStart"/>
      <w:r w:rsidRPr="004E06BB">
        <w:t>Gal</w:t>
      </w:r>
      <w:proofErr w:type="spellEnd"/>
      <w:r w:rsidRPr="004E06BB">
        <w:t xml:space="preserve"> “Serre Calabresi” delegato al </w:t>
      </w:r>
      <w:proofErr w:type="spellStart"/>
      <w:r w:rsidRPr="004E06BB">
        <w:t>Pal</w:t>
      </w:r>
      <w:proofErr w:type="spellEnd"/>
      <w:r w:rsidRPr="004E06BB">
        <w:t>, i risultati che questo frutto in guscio ha dato e continuerà a dare in direzione dell’</w:t>
      </w:r>
      <w:proofErr w:type="spellStart"/>
      <w:r w:rsidRPr="004E06BB">
        <w:t>Igp</w:t>
      </w:r>
      <w:proofErr w:type="spellEnd"/>
      <w:r w:rsidRPr="004E06BB">
        <w:t>, la collaborazione t</w:t>
      </w:r>
      <w:r w:rsidR="00284006" w:rsidRPr="004E06BB">
        <w:t xml:space="preserve">ra il Gruppo di azione locale </w:t>
      </w:r>
      <w:r w:rsidRPr="004E06BB">
        <w:t>ed operatori del settore per la promozione della nocc</w:t>
      </w:r>
      <w:r w:rsidR="00AB03E9" w:rsidRPr="004E06BB">
        <w:t>iola.</w:t>
      </w:r>
    </w:p>
    <w:p w:rsidR="009C3DF1" w:rsidRPr="004E06BB" w:rsidRDefault="009C3DF1" w:rsidP="009C3DF1">
      <w:pPr>
        <w:spacing w:before="80" w:after="80"/>
        <w:jc w:val="both"/>
      </w:pPr>
    </w:p>
    <w:p w:rsidR="009C3DF1" w:rsidRPr="004E06BB" w:rsidRDefault="0005557E" w:rsidP="009C3DF1">
      <w:pPr>
        <w:spacing w:before="80" w:after="80"/>
        <w:jc w:val="both"/>
      </w:pPr>
      <w:r>
        <w:t>Chiaravalle Centrale, 18</w:t>
      </w:r>
      <w:r w:rsidR="009C3DF1" w:rsidRPr="004E06BB">
        <w:t>/5/2023</w:t>
      </w:r>
    </w:p>
    <w:p w:rsidR="00A70433" w:rsidRDefault="00A70433" w:rsidP="00F71B64">
      <w:pPr>
        <w:spacing w:before="80" w:after="80"/>
        <w:jc w:val="both"/>
      </w:pPr>
    </w:p>
    <w:p w:rsidR="00A70433" w:rsidRPr="00501A00" w:rsidRDefault="00A70433" w:rsidP="00F71B64">
      <w:pPr>
        <w:spacing w:before="80" w:after="80"/>
        <w:jc w:val="both"/>
      </w:pPr>
    </w:p>
    <w:p w:rsidR="00D35C90" w:rsidRPr="00D35C90" w:rsidRDefault="00D35C90" w:rsidP="00D35C90">
      <w:pPr>
        <w:spacing w:before="80" w:after="80"/>
        <w:jc w:val="both"/>
        <w:rPr>
          <w:color w:val="222222"/>
        </w:rPr>
      </w:pPr>
    </w:p>
    <w:p w:rsidR="00D35C90" w:rsidRDefault="00D35C90" w:rsidP="00895DCE">
      <w:pPr>
        <w:spacing w:before="80" w:after="80"/>
        <w:jc w:val="both"/>
        <w:rPr>
          <w:color w:val="222222"/>
        </w:rPr>
      </w:pPr>
    </w:p>
    <w:p w:rsidR="00FF64E4" w:rsidRDefault="00FF64E4"/>
    <w:sectPr w:rsidR="00FF64E4" w:rsidSect="001539D3">
      <w:headerReference w:type="default" r:id="rId6"/>
      <w:footerReference w:type="default" r:id="rId7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43" w:rsidRDefault="00057743">
      <w:r>
        <w:separator/>
      </w:r>
    </w:p>
  </w:endnote>
  <w:endnote w:type="continuationSeparator" w:id="0">
    <w:p w:rsidR="00057743" w:rsidRDefault="000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057743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AB03E9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46A6EA07" wp14:editId="0C6CDC06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AB03E9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AB03E9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Gruppo di Azione Locale G.A.L. Serre Calabresi s.c. a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r.l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>.</w:t>
          </w:r>
        </w:p>
        <w:p w:rsidR="001403BF" w:rsidRPr="003928AA" w:rsidRDefault="00AB03E9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proofErr w:type="spellStart"/>
          <w:r w:rsidRPr="003928AA">
            <w:rPr>
              <w:b/>
              <w:color w:val="943634"/>
              <w:sz w:val="20"/>
              <w:szCs w:val="20"/>
            </w:rPr>
            <w:t>C.da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AB03E9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>:</w:t>
          </w:r>
          <w:r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AB03E9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AB03E9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AB03E9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 wp14:anchorId="47417E9D" wp14:editId="36A31BDC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AB03E9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9001-2015</w:t>
          </w:r>
        </w:p>
        <w:p w:rsidR="001403BF" w:rsidRPr="003928AA" w:rsidRDefault="00AB03E9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0577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43" w:rsidRDefault="00057743">
      <w:r>
        <w:separator/>
      </w:r>
    </w:p>
  </w:footnote>
  <w:footnote w:type="continuationSeparator" w:id="0">
    <w:p w:rsidR="00057743" w:rsidRDefault="000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AB03E9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743876A" wp14:editId="04AEC7A7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AB03E9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2DF27D" wp14:editId="3DBC6E5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6FFF9EA" id="Rectangle 2" o:spid="_x0000_s1026" style="position:absolute;margin-left:542.55pt;margin-top:34.8pt;width:7.1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AB03E9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AB03E9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AB03E9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0E0E927" wp14:editId="4F5D3AD5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057743">
    <w:pPr>
      <w:pStyle w:val="Intestazione"/>
    </w:pPr>
  </w:p>
  <w:p w:rsidR="001403BF" w:rsidRDefault="000577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2"/>
    <w:rsid w:val="000415BA"/>
    <w:rsid w:val="0005557E"/>
    <w:rsid w:val="00057743"/>
    <w:rsid w:val="00160109"/>
    <w:rsid w:val="001A6E6F"/>
    <w:rsid w:val="00210FFE"/>
    <w:rsid w:val="00284006"/>
    <w:rsid w:val="00290217"/>
    <w:rsid w:val="0032387C"/>
    <w:rsid w:val="00375AC2"/>
    <w:rsid w:val="003E35E2"/>
    <w:rsid w:val="004331E7"/>
    <w:rsid w:val="004E06BB"/>
    <w:rsid w:val="005030C5"/>
    <w:rsid w:val="00691B46"/>
    <w:rsid w:val="00703E52"/>
    <w:rsid w:val="007558C6"/>
    <w:rsid w:val="00762950"/>
    <w:rsid w:val="00795BD2"/>
    <w:rsid w:val="008505AB"/>
    <w:rsid w:val="00895DCE"/>
    <w:rsid w:val="008D5BF5"/>
    <w:rsid w:val="00900570"/>
    <w:rsid w:val="00933BBF"/>
    <w:rsid w:val="00961C2A"/>
    <w:rsid w:val="009C3DF1"/>
    <w:rsid w:val="00A70433"/>
    <w:rsid w:val="00A85414"/>
    <w:rsid w:val="00AB03E9"/>
    <w:rsid w:val="00AF198C"/>
    <w:rsid w:val="00B34B11"/>
    <w:rsid w:val="00C3657A"/>
    <w:rsid w:val="00C4043E"/>
    <w:rsid w:val="00C85EE1"/>
    <w:rsid w:val="00CF5694"/>
    <w:rsid w:val="00D06BC4"/>
    <w:rsid w:val="00D35C90"/>
    <w:rsid w:val="00D7271B"/>
    <w:rsid w:val="00E0517E"/>
    <w:rsid w:val="00E80A55"/>
    <w:rsid w:val="00EE65B7"/>
    <w:rsid w:val="00F12796"/>
    <w:rsid w:val="00F71B64"/>
    <w:rsid w:val="00F743D9"/>
    <w:rsid w:val="00F75C43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94510-2A79-4D54-BC1F-87560506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5D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D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5D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DC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95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895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2023-05-17T09:37:00Z</dcterms:created>
  <dcterms:modified xsi:type="dcterms:W3CDTF">2023-05-18T09:04:00Z</dcterms:modified>
</cp:coreProperties>
</file>