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98" w:rsidRDefault="000F3F98" w:rsidP="000F3F98">
      <w:pPr>
        <w:spacing w:before="80" w:after="80"/>
        <w:jc w:val="center"/>
        <w:rPr>
          <w:color w:val="222222"/>
          <w:sz w:val="22"/>
          <w:szCs w:val="22"/>
        </w:rPr>
      </w:pPr>
      <w:r>
        <w:rPr>
          <w:color w:val="222222"/>
        </w:rPr>
        <w:t>Comunicato</w:t>
      </w:r>
    </w:p>
    <w:p w:rsidR="000F3F98" w:rsidRDefault="000F3F98" w:rsidP="000F3F98">
      <w:pPr>
        <w:jc w:val="center"/>
        <w:rPr>
          <w:b/>
          <w:i/>
        </w:rPr>
      </w:pPr>
    </w:p>
    <w:p w:rsidR="000F3F98" w:rsidRDefault="000F3F98" w:rsidP="000F3F98">
      <w:pPr>
        <w:jc w:val="center"/>
        <w:rPr>
          <w:b/>
          <w:i/>
        </w:rPr>
      </w:pPr>
      <w:proofErr w:type="spellStart"/>
      <w:r>
        <w:rPr>
          <w:b/>
          <w:i/>
        </w:rPr>
        <w:t>Gal</w:t>
      </w:r>
      <w:proofErr w:type="spellEnd"/>
      <w:r>
        <w:rPr>
          <w:b/>
          <w:i/>
        </w:rPr>
        <w:t xml:space="preserve"> “Serre Calabresi”, ad Amaroni il workshop “La nocciola e il miele, opportunità tra storia e tradizione”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>Punta a creare e a trasferire nuove competenze per generare ricadute positive per lo sviluppo del territorio, nello specifico nelle aree rurali, il workshop “La nocciola e il miele, opportunità tra storia e tradizione” che il 16 maggio si terrà ad Amaroni, nella sala consiliare.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 xml:space="preserve">Questo il primo di una serie di incontri organizzati, dal </w:t>
      </w:r>
      <w:proofErr w:type="spellStart"/>
      <w:r>
        <w:rPr>
          <w:color w:val="222222"/>
        </w:rPr>
        <w:t>Gal</w:t>
      </w:r>
      <w:proofErr w:type="spellEnd"/>
      <w:r>
        <w:rPr>
          <w:color w:val="222222"/>
        </w:rPr>
        <w:t xml:space="preserve"> “Serre Calabresi”, nell’ambito del </w:t>
      </w:r>
      <w:proofErr w:type="spellStart"/>
      <w:r>
        <w:rPr>
          <w:color w:val="222222"/>
        </w:rPr>
        <w:t>Psr</w:t>
      </w:r>
      <w:proofErr w:type="spellEnd"/>
      <w:r>
        <w:rPr>
          <w:color w:val="222222"/>
        </w:rPr>
        <w:t xml:space="preserve"> Calabria 2014/2020, misura 1.1.1 relativa al sostegno alla formazione professionale.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 xml:space="preserve">Il workshop pone in primo piano due prodotti di eccellenza dell’area </w:t>
      </w:r>
      <w:proofErr w:type="spellStart"/>
      <w:r>
        <w:rPr>
          <w:color w:val="222222"/>
        </w:rPr>
        <w:t>Gal</w:t>
      </w:r>
      <w:proofErr w:type="spellEnd"/>
      <w:r>
        <w:rPr>
          <w:color w:val="222222"/>
        </w:rPr>
        <w:t>, miele e nocciola, il connubio dei quali ha dato vita ad un prodotto di elevata e pregiata qualità “</w:t>
      </w:r>
      <w:proofErr w:type="spellStart"/>
      <w:r>
        <w:rPr>
          <w:color w:val="222222"/>
        </w:rPr>
        <w:t>No&amp;Mi</w:t>
      </w:r>
      <w:proofErr w:type="spellEnd"/>
      <w:r>
        <w:rPr>
          <w:color w:val="222222"/>
        </w:rPr>
        <w:t>” e per il quale è allo studio un disciplinare, perché si possa passare alla fase della produzione vera e propria.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>Amaroni ospita l’evento, non a caso. Dal 2005 fa parte di “Città del Miele”, un’associazione che unisce, in tutta Italia, i diversi luoghi e le realtà che raccontano la storia, la natura, le tradizioni e i sa</w:t>
      </w:r>
      <w:r w:rsidR="000A0A8E">
        <w:rPr>
          <w:color w:val="222222"/>
        </w:rPr>
        <w:t xml:space="preserve">pori legati ai mieli italiani.  </w:t>
      </w:r>
      <w:r>
        <w:rPr>
          <w:color w:val="222222"/>
        </w:rPr>
        <w:t xml:space="preserve">Lo stesso Comune di Amaroni ha creato un marchio collettivo e un brand “Amaroni Mieli. I buoni di Calabria”, a disposizione di tutti gli apicultori. La produzione del miele nel territorio di Amaroni è un’attività presente già nel 1800. 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 xml:space="preserve">La nocciola identifica come area di produzione i territori di Cardinale e Torre di Ruggiero. Entrambi i Comuni fanno parte dell’Associazione nazionale “Città della nocciola” che lega realtà produttive e territori </w:t>
      </w:r>
      <w:proofErr w:type="spellStart"/>
      <w:r>
        <w:rPr>
          <w:color w:val="222222"/>
        </w:rPr>
        <w:t>corilicoli</w:t>
      </w:r>
      <w:proofErr w:type="spellEnd"/>
      <w:r>
        <w:rPr>
          <w:color w:val="222222"/>
        </w:rPr>
        <w:br/>
        <w:t xml:space="preserve">dal Nord al Sud Italia. A Cardinale la nocciola è stata introdotta alla fine del 1700. </w:t>
      </w:r>
      <w:r>
        <w:rPr>
          <w:color w:val="222222"/>
        </w:rPr>
        <w:br/>
      </w:r>
    </w:p>
    <w:p w:rsidR="000F3F98" w:rsidRDefault="00E21669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>Il workshop,</w:t>
      </w:r>
      <w:r w:rsidR="000F3F98">
        <w:rPr>
          <w:color w:val="222222"/>
        </w:rPr>
        <w:t xml:space="preserve"> accreditato dal Consiglio de</w:t>
      </w:r>
      <w:r w:rsidR="009F39B8">
        <w:rPr>
          <w:color w:val="222222"/>
        </w:rPr>
        <w:t>ll’Ordine n</w:t>
      </w:r>
      <w:r w:rsidR="000F3F98">
        <w:rPr>
          <w:color w:val="222222"/>
        </w:rPr>
        <w:t xml:space="preserve">azionale dei Dottori Agronomi e dei Dottori Forestali per la formazione dei propri iscritti, aprirà alle ore 9 con la registrazione dei partecipanti e con i saluti di Luigi Ruggiero, sindaco di Amaroni e di Marziale Battaglia, presidente del </w:t>
      </w:r>
      <w:proofErr w:type="spellStart"/>
      <w:r w:rsidR="000F3F98">
        <w:rPr>
          <w:color w:val="222222"/>
        </w:rPr>
        <w:t>Gal</w:t>
      </w:r>
      <w:proofErr w:type="spellEnd"/>
      <w:r w:rsidR="000F3F98">
        <w:rPr>
          <w:color w:val="222222"/>
        </w:rPr>
        <w:t xml:space="preserve"> “Serre Calabresi”. Il workshop è suddiviso in due sessioni. La prima, mattutina, dedicata al miele, prevede gli interventi di Teresa Lagrotteria, vicesindaco su “Il brand Amaroni Mieli”, di Giuseppe </w:t>
      </w:r>
      <w:proofErr w:type="spellStart"/>
      <w:r w:rsidR="000F3F98">
        <w:rPr>
          <w:color w:val="222222"/>
        </w:rPr>
        <w:t>Olivadoti</w:t>
      </w:r>
      <w:proofErr w:type="spellEnd"/>
      <w:r w:rsidR="000F3F98">
        <w:rPr>
          <w:color w:val="222222"/>
        </w:rPr>
        <w:t xml:space="preserve">, presidente </w:t>
      </w:r>
      <w:r w:rsidR="002E3333">
        <w:rPr>
          <w:color w:val="222222"/>
        </w:rPr>
        <w:t>dell’A</w:t>
      </w:r>
      <w:r w:rsidR="000F3F98">
        <w:rPr>
          <w:color w:val="222222"/>
        </w:rPr>
        <w:t xml:space="preserve">ssociazione </w:t>
      </w:r>
      <w:proofErr w:type="spellStart"/>
      <w:r w:rsidR="000F3F98">
        <w:rPr>
          <w:color w:val="222222"/>
        </w:rPr>
        <w:t>Ama.M.I</w:t>
      </w:r>
      <w:proofErr w:type="spellEnd"/>
      <w:r w:rsidR="000F3F98">
        <w:rPr>
          <w:color w:val="222222"/>
        </w:rPr>
        <w:t xml:space="preserve">. su “Il miele di Amaroni: caratteristiche e produzione”, di Maurizio </w:t>
      </w:r>
      <w:proofErr w:type="spellStart"/>
      <w:r w:rsidR="000F3F98">
        <w:rPr>
          <w:color w:val="222222"/>
        </w:rPr>
        <w:t>Millea</w:t>
      </w:r>
      <w:proofErr w:type="spellEnd"/>
      <w:r w:rsidR="000F3F98">
        <w:rPr>
          <w:color w:val="222222"/>
        </w:rPr>
        <w:t>, esperto apistico su “Le caratteristiche del miele”, di Roberto Bava medico veterinario</w:t>
      </w:r>
      <w:bookmarkStart w:id="0" w:name="_gjdgxs"/>
      <w:bookmarkEnd w:id="0"/>
      <w:r w:rsidR="000F3F98">
        <w:rPr>
          <w:color w:val="222222"/>
        </w:rPr>
        <w:t xml:space="preserve"> sulla “Vita da ape”. 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 xml:space="preserve">La sessione pomeridiana sarà dedicata alla nocciola. Prevede gli interventi di Massimo Rotiroti, esperto in marketing del settore </w:t>
      </w:r>
      <w:proofErr w:type="spellStart"/>
      <w:r>
        <w:rPr>
          <w:color w:val="222222"/>
        </w:rPr>
        <w:t>corilicolo</w:t>
      </w:r>
      <w:proofErr w:type="spellEnd"/>
      <w:r>
        <w:rPr>
          <w:color w:val="222222"/>
        </w:rPr>
        <w:t xml:space="preserve">  su “La nocciola Tonda calabrese”, di Irma </w:t>
      </w:r>
      <w:proofErr w:type="spellStart"/>
      <w:r>
        <w:rPr>
          <w:color w:val="222222"/>
        </w:rPr>
        <w:t>Brizi</w:t>
      </w:r>
      <w:proofErr w:type="spellEnd"/>
      <w:r>
        <w:rPr>
          <w:color w:val="222222"/>
        </w:rPr>
        <w:t xml:space="preserve">, direttrice Associazione nazionale “Città della Nocciola” e panel leader su  “Qualità e caratteristiche organolettiche della nocciola”, di  Tommaso </w:t>
      </w:r>
      <w:proofErr w:type="spellStart"/>
      <w:r>
        <w:rPr>
          <w:color w:val="222222"/>
        </w:rPr>
        <w:t>Gullì</w:t>
      </w:r>
      <w:proofErr w:type="spellEnd"/>
      <w:r>
        <w:rPr>
          <w:color w:val="222222"/>
        </w:rPr>
        <w:t>, dottore agronomo su “Gestione agronomica di un noccioleto” e di Renato Daniele, dirigente scolastico dell’Istituto professionale di Stato Servizi per l’Enogastronomia e l’Ospitalità alberghiera di Soverato su “Produzioni innovative: il caso del “</w:t>
      </w:r>
      <w:proofErr w:type="spellStart"/>
      <w:r>
        <w:rPr>
          <w:color w:val="222222"/>
        </w:rPr>
        <w:t>No&amp;Mi</w:t>
      </w:r>
      <w:proofErr w:type="spellEnd"/>
      <w:r>
        <w:rPr>
          <w:color w:val="222222"/>
        </w:rPr>
        <w:t>”.</w:t>
      </w:r>
    </w:p>
    <w:p w:rsidR="000F3F98" w:rsidRDefault="000F3F98" w:rsidP="000F3F98">
      <w:pPr>
        <w:spacing w:before="80" w:after="80"/>
        <w:jc w:val="both"/>
        <w:rPr>
          <w:color w:val="222222"/>
        </w:rPr>
      </w:pPr>
    </w:p>
    <w:p w:rsidR="000F3F98" w:rsidRDefault="000F3F98" w:rsidP="000F3F98">
      <w:pPr>
        <w:spacing w:before="80" w:after="80"/>
        <w:jc w:val="both"/>
        <w:rPr>
          <w:color w:val="222222"/>
        </w:rPr>
      </w:pPr>
      <w:r>
        <w:rPr>
          <w:color w:val="222222"/>
        </w:rPr>
        <w:t>Chiaravalle Centrale, 10/5/2023</w:t>
      </w:r>
    </w:p>
    <w:p w:rsidR="001539D3" w:rsidRPr="00F147A0" w:rsidRDefault="001539D3" w:rsidP="00490129">
      <w:pPr>
        <w:jc w:val="both"/>
      </w:pPr>
      <w:bookmarkStart w:id="1" w:name="_GoBack"/>
      <w:bookmarkEnd w:id="1"/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F2" w:rsidRDefault="002B08F2" w:rsidP="00DD2B4E">
      <w:pPr>
        <w:pStyle w:val="Intestazione"/>
      </w:pPr>
      <w:r>
        <w:separator/>
      </w:r>
    </w:p>
  </w:endnote>
  <w:endnote w:type="continuationSeparator" w:id="0">
    <w:p w:rsidR="002B08F2" w:rsidRDefault="002B08F2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F2" w:rsidRDefault="002B08F2" w:rsidP="00DD2B4E">
      <w:pPr>
        <w:pStyle w:val="Intestazione"/>
      </w:pPr>
      <w:r>
        <w:separator/>
      </w:r>
    </w:p>
  </w:footnote>
  <w:footnote w:type="continuationSeparator" w:id="0">
    <w:p w:rsidR="002B08F2" w:rsidRDefault="002B08F2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0A8E"/>
    <w:rsid w:val="000A445B"/>
    <w:rsid w:val="000C6D41"/>
    <w:rsid w:val="000D19A6"/>
    <w:rsid w:val="000E77AF"/>
    <w:rsid w:val="000F3F98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69AE"/>
    <w:rsid w:val="00260741"/>
    <w:rsid w:val="00266124"/>
    <w:rsid w:val="00291AD8"/>
    <w:rsid w:val="002925FB"/>
    <w:rsid w:val="002B08F2"/>
    <w:rsid w:val="002B44DD"/>
    <w:rsid w:val="002C5812"/>
    <w:rsid w:val="002E1A5D"/>
    <w:rsid w:val="002E3333"/>
    <w:rsid w:val="002E5F16"/>
    <w:rsid w:val="00306B86"/>
    <w:rsid w:val="00306F9D"/>
    <w:rsid w:val="003137E7"/>
    <w:rsid w:val="00346C51"/>
    <w:rsid w:val="00350018"/>
    <w:rsid w:val="003629CD"/>
    <w:rsid w:val="003639BF"/>
    <w:rsid w:val="00383818"/>
    <w:rsid w:val="00385135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0481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8130F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9B8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1669"/>
    <w:rsid w:val="00E244AF"/>
    <w:rsid w:val="00E32DA1"/>
    <w:rsid w:val="00E35B4E"/>
    <w:rsid w:val="00E45265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EC4364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ultrabook</dc:creator>
  <cp:lastModifiedBy>user</cp:lastModifiedBy>
  <cp:revision>13</cp:revision>
  <cp:lastPrinted>2018-09-04T15:38:00Z</cp:lastPrinted>
  <dcterms:created xsi:type="dcterms:W3CDTF">2023-05-10T17:05:00Z</dcterms:created>
  <dcterms:modified xsi:type="dcterms:W3CDTF">2023-05-10T17:19:00Z</dcterms:modified>
</cp:coreProperties>
</file>